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7BB25" w14:textId="1BF492F9" w:rsidR="00F17763" w:rsidRPr="00F17763" w:rsidRDefault="00F17763" w:rsidP="00E74D22">
      <w:pPr>
        <w:pStyle w:val="Default"/>
        <w:jc w:val="center"/>
        <w:rPr>
          <w:b/>
          <w:bCs/>
          <w:color w:val="auto"/>
          <w:sz w:val="32"/>
          <w:szCs w:val="32"/>
        </w:rPr>
      </w:pPr>
      <w:r w:rsidRPr="00F17763">
        <w:rPr>
          <w:b/>
          <w:bCs/>
          <w:color w:val="auto"/>
          <w:sz w:val="32"/>
          <w:szCs w:val="32"/>
        </w:rPr>
        <w:t>Bekanntmachung</w:t>
      </w:r>
    </w:p>
    <w:p w14:paraId="5F535BC6" w14:textId="77777777" w:rsidR="00F17763" w:rsidRDefault="00F17763" w:rsidP="00E74D2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F68F2B6" w14:textId="77777777" w:rsidR="00E74D22" w:rsidRPr="00F17763" w:rsidRDefault="00E74D22" w:rsidP="00E74D22">
      <w:pPr>
        <w:pStyle w:val="Default"/>
        <w:jc w:val="center"/>
        <w:rPr>
          <w:color w:val="auto"/>
          <w:sz w:val="28"/>
          <w:szCs w:val="28"/>
        </w:rPr>
      </w:pPr>
      <w:r w:rsidRPr="00F17763">
        <w:rPr>
          <w:bCs/>
          <w:color w:val="auto"/>
          <w:sz w:val="28"/>
          <w:szCs w:val="28"/>
        </w:rPr>
        <w:t xml:space="preserve">Satzung über die Veränderungssperre </w:t>
      </w:r>
    </w:p>
    <w:p w14:paraId="1833E252" w14:textId="2EE8D5AD" w:rsidR="00E74D22" w:rsidRPr="00F17763" w:rsidRDefault="00E74D22" w:rsidP="008167CE">
      <w:pPr>
        <w:pStyle w:val="Default"/>
        <w:jc w:val="center"/>
        <w:rPr>
          <w:bCs/>
          <w:color w:val="auto"/>
          <w:sz w:val="28"/>
          <w:szCs w:val="28"/>
        </w:rPr>
      </w:pPr>
      <w:r w:rsidRPr="00F17763">
        <w:rPr>
          <w:bCs/>
          <w:color w:val="auto"/>
          <w:sz w:val="28"/>
          <w:szCs w:val="28"/>
        </w:rPr>
        <w:t xml:space="preserve">für den Geltungsbereich </w:t>
      </w:r>
      <w:r w:rsidR="008167CE" w:rsidRPr="00F17763">
        <w:rPr>
          <w:bCs/>
          <w:color w:val="auto"/>
          <w:sz w:val="28"/>
          <w:szCs w:val="28"/>
        </w:rPr>
        <w:t>des</w:t>
      </w:r>
      <w:r w:rsidR="00F97F73" w:rsidRPr="00F17763">
        <w:rPr>
          <w:bCs/>
          <w:color w:val="auto"/>
          <w:sz w:val="28"/>
          <w:szCs w:val="28"/>
        </w:rPr>
        <w:t xml:space="preserve"> </w:t>
      </w:r>
      <w:r w:rsidR="008167CE" w:rsidRPr="00F17763">
        <w:rPr>
          <w:bCs/>
          <w:color w:val="auto"/>
          <w:sz w:val="28"/>
          <w:szCs w:val="28"/>
        </w:rPr>
        <w:t>Bebauungsplanes</w:t>
      </w:r>
      <w:r w:rsidR="00F97F73" w:rsidRPr="00F17763">
        <w:rPr>
          <w:bCs/>
          <w:color w:val="auto"/>
          <w:sz w:val="28"/>
          <w:szCs w:val="28"/>
        </w:rPr>
        <w:t xml:space="preserve"> Nr.</w:t>
      </w:r>
      <w:r w:rsidR="008167CE" w:rsidRPr="00F17763">
        <w:rPr>
          <w:bCs/>
          <w:color w:val="auto"/>
          <w:sz w:val="28"/>
          <w:szCs w:val="28"/>
        </w:rPr>
        <w:t xml:space="preserve"> 234</w:t>
      </w:r>
      <w:r w:rsidR="00F17763">
        <w:rPr>
          <w:bCs/>
          <w:color w:val="auto"/>
          <w:sz w:val="28"/>
          <w:szCs w:val="28"/>
        </w:rPr>
        <w:br/>
      </w:r>
      <w:r w:rsidR="007007D9" w:rsidRPr="00F17763">
        <w:rPr>
          <w:bCs/>
          <w:color w:val="auto"/>
          <w:sz w:val="28"/>
          <w:szCs w:val="28"/>
        </w:rPr>
        <w:t>"Gewerbegebiet Willy-Brandt-Ring"</w:t>
      </w:r>
    </w:p>
    <w:p w14:paraId="197E3218" w14:textId="77777777" w:rsidR="007007D9" w:rsidRDefault="007007D9" w:rsidP="008167C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9546F14" w14:textId="77777777" w:rsidR="00E74D22" w:rsidRDefault="00E74D22" w:rsidP="00E74D22">
      <w:pPr>
        <w:pStyle w:val="Default"/>
        <w:rPr>
          <w:color w:val="auto"/>
          <w:sz w:val="28"/>
          <w:szCs w:val="28"/>
        </w:rPr>
      </w:pPr>
    </w:p>
    <w:p w14:paraId="57361A1F" w14:textId="059A556F" w:rsidR="00E74D22" w:rsidRDefault="00E74D22" w:rsidP="005B2E17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Aufgrund der §§ 14, 16 (1) und 17 (1) des Baugesetzbuches (BauGB) in der derzeit gültigen Fassung, in Verbindung mit § 7 der Gemeindeordnung für das Land Nordrhein-Westfalen (GO NRW) in der zurzeit gültigen Fassung, hat der Rat der Stadt </w:t>
      </w:r>
      <w:r w:rsidR="00BC5406">
        <w:rPr>
          <w:color w:val="auto"/>
          <w:sz w:val="22"/>
          <w:szCs w:val="22"/>
        </w:rPr>
        <w:t xml:space="preserve">Würselen </w:t>
      </w:r>
      <w:r>
        <w:rPr>
          <w:color w:val="auto"/>
          <w:sz w:val="22"/>
          <w:szCs w:val="22"/>
        </w:rPr>
        <w:t xml:space="preserve">in seiner Sitzung am </w:t>
      </w:r>
      <w:r w:rsidR="00F17763">
        <w:rPr>
          <w:color w:val="auto"/>
          <w:sz w:val="22"/>
          <w:szCs w:val="22"/>
        </w:rPr>
        <w:t>21</w:t>
      </w:r>
      <w:r w:rsidR="005B2E17" w:rsidRPr="00F97F73">
        <w:rPr>
          <w:color w:val="auto"/>
          <w:sz w:val="22"/>
          <w:szCs w:val="22"/>
        </w:rPr>
        <w:t>.</w:t>
      </w:r>
      <w:r w:rsidR="00F17763">
        <w:rPr>
          <w:color w:val="auto"/>
          <w:sz w:val="22"/>
          <w:szCs w:val="22"/>
        </w:rPr>
        <w:t>06</w:t>
      </w:r>
      <w:r w:rsidR="005B2E17" w:rsidRPr="00F97F73">
        <w:rPr>
          <w:color w:val="auto"/>
          <w:sz w:val="22"/>
          <w:szCs w:val="22"/>
        </w:rPr>
        <w:t>.2022</w:t>
      </w:r>
      <w:r w:rsidRPr="00F97F73">
        <w:rPr>
          <w:color w:val="auto"/>
          <w:sz w:val="22"/>
          <w:szCs w:val="22"/>
        </w:rPr>
        <w:t xml:space="preserve"> folgende</w:t>
      </w:r>
      <w:r>
        <w:rPr>
          <w:color w:val="auto"/>
          <w:sz w:val="22"/>
          <w:szCs w:val="22"/>
        </w:rPr>
        <w:t xml:space="preserve"> Satzung beschlossen: </w:t>
      </w:r>
    </w:p>
    <w:p w14:paraId="5194F885" w14:textId="77777777" w:rsidR="00E74D22" w:rsidRDefault="00E74D22" w:rsidP="00E74D22">
      <w:pPr>
        <w:pStyle w:val="Default"/>
        <w:rPr>
          <w:color w:val="auto"/>
          <w:sz w:val="22"/>
          <w:szCs w:val="22"/>
        </w:rPr>
      </w:pPr>
    </w:p>
    <w:p w14:paraId="5B0ED750" w14:textId="77777777" w:rsidR="00E74D22" w:rsidRDefault="00E74D22" w:rsidP="006235E0">
      <w:pPr>
        <w:pStyle w:val="Default"/>
        <w:spacing w:line="360" w:lineRule="auto"/>
        <w:rPr>
          <w:color w:val="auto"/>
          <w:sz w:val="22"/>
          <w:szCs w:val="22"/>
        </w:rPr>
      </w:pPr>
    </w:p>
    <w:p w14:paraId="6366FF76" w14:textId="77777777" w:rsidR="00E74D22" w:rsidRPr="006464C6" w:rsidRDefault="00E74D22" w:rsidP="00E74D22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6464C6">
        <w:rPr>
          <w:b/>
          <w:bCs/>
          <w:color w:val="auto"/>
          <w:sz w:val="22"/>
          <w:szCs w:val="22"/>
        </w:rPr>
        <w:t>§ 1</w:t>
      </w:r>
    </w:p>
    <w:p w14:paraId="01634530" w14:textId="77777777" w:rsidR="00E74D22" w:rsidRPr="006464C6" w:rsidRDefault="00E74D22" w:rsidP="00E74D22">
      <w:pPr>
        <w:pStyle w:val="Default"/>
        <w:spacing w:after="120"/>
        <w:jc w:val="center"/>
        <w:rPr>
          <w:color w:val="auto"/>
          <w:sz w:val="22"/>
          <w:szCs w:val="22"/>
        </w:rPr>
      </w:pPr>
      <w:r w:rsidRPr="006464C6">
        <w:rPr>
          <w:b/>
          <w:bCs/>
          <w:color w:val="auto"/>
          <w:sz w:val="22"/>
          <w:szCs w:val="22"/>
        </w:rPr>
        <w:t>Zu sichernde Planung</w:t>
      </w:r>
    </w:p>
    <w:p w14:paraId="5861E474" w14:textId="6D80351B" w:rsidR="007E548A" w:rsidRDefault="00E74D22" w:rsidP="00CB529F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A67736">
        <w:rPr>
          <w:color w:val="auto"/>
          <w:sz w:val="22"/>
          <w:szCs w:val="22"/>
        </w:rPr>
        <w:t xml:space="preserve">Der </w:t>
      </w:r>
      <w:r w:rsidR="007007D9">
        <w:rPr>
          <w:color w:val="auto"/>
          <w:sz w:val="22"/>
          <w:szCs w:val="22"/>
        </w:rPr>
        <w:t>Rat</w:t>
      </w:r>
      <w:r w:rsidR="008A2F9D">
        <w:rPr>
          <w:color w:val="auto"/>
          <w:sz w:val="22"/>
          <w:szCs w:val="22"/>
        </w:rPr>
        <w:t xml:space="preserve"> </w:t>
      </w:r>
      <w:r w:rsidRPr="00A67736">
        <w:rPr>
          <w:color w:val="auto"/>
          <w:sz w:val="22"/>
          <w:szCs w:val="22"/>
        </w:rPr>
        <w:t>der Stadt</w:t>
      </w:r>
      <w:r w:rsidR="006464C6" w:rsidRPr="00A67736">
        <w:rPr>
          <w:color w:val="auto"/>
          <w:sz w:val="22"/>
          <w:szCs w:val="22"/>
        </w:rPr>
        <w:t xml:space="preserve"> Würselen </w:t>
      </w:r>
      <w:r w:rsidRPr="00A67736">
        <w:rPr>
          <w:color w:val="auto"/>
          <w:sz w:val="22"/>
          <w:szCs w:val="22"/>
        </w:rPr>
        <w:t xml:space="preserve">hat in seiner Sitzung am </w:t>
      </w:r>
      <w:r w:rsidR="00767CCA">
        <w:rPr>
          <w:color w:val="auto"/>
          <w:sz w:val="22"/>
          <w:szCs w:val="22"/>
        </w:rPr>
        <w:t>21</w:t>
      </w:r>
      <w:r w:rsidR="005B2E17" w:rsidRPr="00F97F73">
        <w:rPr>
          <w:color w:val="auto"/>
          <w:sz w:val="22"/>
          <w:szCs w:val="22"/>
        </w:rPr>
        <w:t>.</w:t>
      </w:r>
      <w:r w:rsidR="00E41FE5">
        <w:rPr>
          <w:color w:val="auto"/>
          <w:sz w:val="22"/>
          <w:szCs w:val="22"/>
        </w:rPr>
        <w:t>06</w:t>
      </w:r>
      <w:r w:rsidR="005B2E17" w:rsidRPr="00F97F73">
        <w:rPr>
          <w:color w:val="auto"/>
          <w:sz w:val="22"/>
          <w:szCs w:val="22"/>
        </w:rPr>
        <w:t>.2022</w:t>
      </w:r>
      <w:r w:rsidR="005B2E17">
        <w:rPr>
          <w:color w:val="auto"/>
          <w:sz w:val="22"/>
          <w:szCs w:val="22"/>
        </w:rPr>
        <w:t xml:space="preserve"> </w:t>
      </w:r>
      <w:r w:rsidRPr="00A67736">
        <w:rPr>
          <w:color w:val="auto"/>
          <w:sz w:val="22"/>
          <w:szCs w:val="22"/>
        </w:rPr>
        <w:t xml:space="preserve">die Aufstellung des Bebauungsplanes </w:t>
      </w:r>
      <w:r w:rsidR="006A5E37">
        <w:rPr>
          <w:color w:val="auto"/>
          <w:sz w:val="22"/>
          <w:szCs w:val="22"/>
        </w:rPr>
        <w:t xml:space="preserve">Nr. </w:t>
      </w:r>
      <w:r w:rsidR="006464C6" w:rsidRPr="00A67736">
        <w:rPr>
          <w:color w:val="auto"/>
          <w:sz w:val="22"/>
          <w:szCs w:val="22"/>
        </w:rPr>
        <w:t>234</w:t>
      </w:r>
      <w:r w:rsidRPr="00A67736">
        <w:rPr>
          <w:color w:val="auto"/>
          <w:sz w:val="22"/>
          <w:szCs w:val="22"/>
        </w:rPr>
        <w:t xml:space="preserve"> </w:t>
      </w:r>
      <w:r w:rsidR="007007D9">
        <w:rPr>
          <w:color w:val="auto"/>
          <w:sz w:val="22"/>
          <w:szCs w:val="22"/>
        </w:rPr>
        <w:t xml:space="preserve">"Gewerbegebiet Willy-Brandt-Ring" </w:t>
      </w:r>
      <w:r w:rsidRPr="00A67736">
        <w:rPr>
          <w:color w:val="auto"/>
          <w:sz w:val="22"/>
          <w:szCs w:val="22"/>
        </w:rPr>
        <w:t>be</w:t>
      </w:r>
      <w:r w:rsidR="00A67736" w:rsidRPr="00A67736">
        <w:rPr>
          <w:color w:val="auto"/>
          <w:sz w:val="22"/>
          <w:szCs w:val="22"/>
        </w:rPr>
        <w:t xml:space="preserve">schlossen. </w:t>
      </w:r>
    </w:p>
    <w:p w14:paraId="3ACC0E8A" w14:textId="42486F0C" w:rsidR="00E74D22" w:rsidRPr="00A67736" w:rsidRDefault="00E74D22" w:rsidP="00A67736">
      <w:pPr>
        <w:pStyle w:val="Default"/>
        <w:jc w:val="both"/>
        <w:rPr>
          <w:color w:val="auto"/>
          <w:sz w:val="22"/>
          <w:szCs w:val="22"/>
        </w:rPr>
      </w:pPr>
      <w:r w:rsidRPr="00A67736">
        <w:rPr>
          <w:color w:val="auto"/>
          <w:sz w:val="22"/>
          <w:szCs w:val="22"/>
        </w:rPr>
        <w:t>D</w:t>
      </w:r>
      <w:r w:rsidR="008A2F9D">
        <w:rPr>
          <w:color w:val="auto"/>
          <w:sz w:val="22"/>
          <w:szCs w:val="22"/>
        </w:rPr>
        <w:t>a d</w:t>
      </w:r>
      <w:r w:rsidRPr="00A67736">
        <w:rPr>
          <w:color w:val="auto"/>
          <w:sz w:val="22"/>
          <w:szCs w:val="22"/>
        </w:rPr>
        <w:t>er Bebauungsplan</w:t>
      </w:r>
      <w:r w:rsidR="006A5E37">
        <w:rPr>
          <w:color w:val="auto"/>
          <w:sz w:val="22"/>
          <w:szCs w:val="22"/>
        </w:rPr>
        <w:t xml:space="preserve"> Nr.</w:t>
      </w:r>
      <w:r w:rsidRPr="00A67736">
        <w:rPr>
          <w:color w:val="auto"/>
          <w:sz w:val="22"/>
          <w:szCs w:val="22"/>
        </w:rPr>
        <w:t xml:space="preserve"> </w:t>
      </w:r>
      <w:r w:rsidR="00A67736" w:rsidRPr="00A67736">
        <w:rPr>
          <w:color w:val="auto"/>
          <w:sz w:val="22"/>
          <w:szCs w:val="22"/>
        </w:rPr>
        <w:t xml:space="preserve">234 </w:t>
      </w:r>
      <w:r w:rsidRPr="00A67736">
        <w:rPr>
          <w:color w:val="auto"/>
          <w:sz w:val="22"/>
          <w:szCs w:val="22"/>
        </w:rPr>
        <w:t>in Bearbeitung un</w:t>
      </w:r>
      <w:r w:rsidR="00094944">
        <w:rPr>
          <w:color w:val="auto"/>
          <w:sz w:val="22"/>
          <w:szCs w:val="22"/>
        </w:rPr>
        <w:t>d daher noch nicht rechtsverbindlich</w:t>
      </w:r>
      <w:r w:rsidRPr="00A67736">
        <w:rPr>
          <w:color w:val="auto"/>
          <w:sz w:val="22"/>
          <w:szCs w:val="22"/>
        </w:rPr>
        <w:t xml:space="preserve"> ist, wird </w:t>
      </w:r>
      <w:r w:rsidR="00742689">
        <w:rPr>
          <w:color w:val="auto"/>
          <w:sz w:val="22"/>
          <w:szCs w:val="22"/>
        </w:rPr>
        <w:t xml:space="preserve">zur Sicherung der Planung </w:t>
      </w:r>
      <w:r w:rsidRPr="00A67736">
        <w:rPr>
          <w:color w:val="auto"/>
          <w:sz w:val="22"/>
          <w:szCs w:val="22"/>
        </w:rPr>
        <w:t>die</w:t>
      </w:r>
      <w:r w:rsidR="000A7E14">
        <w:rPr>
          <w:color w:val="auto"/>
          <w:sz w:val="22"/>
          <w:szCs w:val="22"/>
        </w:rPr>
        <w:t xml:space="preserve">se </w:t>
      </w:r>
      <w:r w:rsidRPr="00A67736">
        <w:rPr>
          <w:color w:val="auto"/>
          <w:sz w:val="22"/>
          <w:szCs w:val="22"/>
        </w:rPr>
        <w:t xml:space="preserve">Veränderungssperre </w:t>
      </w:r>
      <w:r w:rsidR="00A67736" w:rsidRPr="00A67736">
        <w:rPr>
          <w:color w:val="auto"/>
          <w:sz w:val="22"/>
          <w:szCs w:val="22"/>
        </w:rPr>
        <w:t>beschlossen.</w:t>
      </w:r>
      <w:r w:rsidR="00742689">
        <w:rPr>
          <w:color w:val="auto"/>
          <w:sz w:val="22"/>
          <w:szCs w:val="22"/>
        </w:rPr>
        <w:t xml:space="preserve"> </w:t>
      </w:r>
    </w:p>
    <w:p w14:paraId="269FCDCF" w14:textId="77777777" w:rsidR="006235E0" w:rsidRDefault="006235E0" w:rsidP="006235E0">
      <w:pPr>
        <w:pStyle w:val="Default"/>
        <w:spacing w:line="360" w:lineRule="auto"/>
        <w:rPr>
          <w:i/>
          <w:color w:val="auto"/>
          <w:sz w:val="22"/>
          <w:szCs w:val="22"/>
        </w:rPr>
      </w:pPr>
    </w:p>
    <w:p w14:paraId="34307D09" w14:textId="77777777" w:rsidR="007007D9" w:rsidRPr="00E74D22" w:rsidRDefault="007007D9" w:rsidP="00E74D22">
      <w:pPr>
        <w:pStyle w:val="Default"/>
        <w:rPr>
          <w:i/>
          <w:color w:val="auto"/>
          <w:sz w:val="22"/>
          <w:szCs w:val="22"/>
        </w:rPr>
      </w:pPr>
    </w:p>
    <w:p w14:paraId="43398076" w14:textId="77777777" w:rsidR="00E74D22" w:rsidRPr="00765A11" w:rsidRDefault="00E74D22" w:rsidP="00E74D22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765A11">
        <w:rPr>
          <w:b/>
          <w:bCs/>
          <w:color w:val="auto"/>
          <w:sz w:val="22"/>
          <w:szCs w:val="22"/>
        </w:rPr>
        <w:t xml:space="preserve">§ 2 </w:t>
      </w:r>
    </w:p>
    <w:p w14:paraId="1001FF91" w14:textId="77777777" w:rsidR="00E74D22" w:rsidRPr="00765A11" w:rsidRDefault="00E74D22" w:rsidP="00E74D22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765A11">
        <w:rPr>
          <w:b/>
          <w:bCs/>
          <w:color w:val="auto"/>
          <w:sz w:val="22"/>
          <w:szCs w:val="22"/>
        </w:rPr>
        <w:t xml:space="preserve">Räumlicher Geltungsbereich </w:t>
      </w:r>
    </w:p>
    <w:p w14:paraId="37B62934" w14:textId="77777777" w:rsidR="005F1AB0" w:rsidRDefault="00E74D22" w:rsidP="005F1AB0">
      <w:pPr>
        <w:pStyle w:val="Default"/>
        <w:jc w:val="both"/>
        <w:rPr>
          <w:color w:val="auto"/>
          <w:sz w:val="22"/>
          <w:szCs w:val="22"/>
        </w:rPr>
      </w:pPr>
      <w:r w:rsidRPr="00765A11">
        <w:rPr>
          <w:color w:val="auto"/>
          <w:sz w:val="22"/>
          <w:szCs w:val="22"/>
        </w:rPr>
        <w:t>Der räumliche Geltungsbereich der Veränderungssperre ergibt sich aus der als Anlage beigefügten Karte, die Teil dieser Satzung ist. Er bezieht sich auf den Geltungsbereich de</w:t>
      </w:r>
      <w:r w:rsidR="00765A11" w:rsidRPr="00765A11">
        <w:rPr>
          <w:color w:val="auto"/>
          <w:sz w:val="22"/>
          <w:szCs w:val="22"/>
        </w:rPr>
        <w:t>s</w:t>
      </w:r>
      <w:r w:rsidRPr="00765A11">
        <w:rPr>
          <w:color w:val="auto"/>
          <w:sz w:val="22"/>
          <w:szCs w:val="22"/>
        </w:rPr>
        <w:t xml:space="preserve"> in Aufstellung befindlichen </w:t>
      </w:r>
      <w:r w:rsidR="00765A11" w:rsidRPr="00765A11">
        <w:rPr>
          <w:color w:val="auto"/>
          <w:sz w:val="22"/>
          <w:szCs w:val="22"/>
        </w:rPr>
        <w:t>B</w:t>
      </w:r>
      <w:r w:rsidRPr="00765A11">
        <w:rPr>
          <w:color w:val="auto"/>
          <w:sz w:val="22"/>
          <w:szCs w:val="22"/>
        </w:rPr>
        <w:t xml:space="preserve">ebauungsplanes </w:t>
      </w:r>
      <w:r w:rsidR="006A5E37">
        <w:rPr>
          <w:color w:val="auto"/>
          <w:sz w:val="22"/>
          <w:szCs w:val="22"/>
        </w:rPr>
        <w:t xml:space="preserve">Nr. </w:t>
      </w:r>
      <w:r w:rsidR="00765A11" w:rsidRPr="00765A11">
        <w:rPr>
          <w:color w:val="auto"/>
          <w:sz w:val="22"/>
          <w:szCs w:val="22"/>
        </w:rPr>
        <w:t xml:space="preserve">234 </w:t>
      </w:r>
      <w:r w:rsidR="007007D9">
        <w:rPr>
          <w:color w:val="auto"/>
          <w:sz w:val="22"/>
          <w:szCs w:val="22"/>
        </w:rPr>
        <w:t>"Gewerbegebiet Willy-Brandt-Ring"</w:t>
      </w:r>
      <w:r w:rsidR="005F1AB0" w:rsidRPr="00A67736">
        <w:rPr>
          <w:color w:val="auto"/>
          <w:sz w:val="22"/>
          <w:szCs w:val="22"/>
        </w:rPr>
        <w:t>.</w:t>
      </w:r>
      <w:r w:rsidR="005F1AB0">
        <w:rPr>
          <w:color w:val="auto"/>
          <w:sz w:val="22"/>
          <w:szCs w:val="22"/>
        </w:rPr>
        <w:t xml:space="preserve"> </w:t>
      </w:r>
    </w:p>
    <w:p w14:paraId="19798958" w14:textId="77777777" w:rsidR="00607543" w:rsidRDefault="00607543" w:rsidP="005F1AB0">
      <w:pPr>
        <w:pStyle w:val="Default"/>
        <w:jc w:val="both"/>
        <w:rPr>
          <w:color w:val="auto"/>
          <w:sz w:val="22"/>
          <w:szCs w:val="22"/>
        </w:rPr>
      </w:pPr>
    </w:p>
    <w:p w14:paraId="6696A1B3" w14:textId="77777777" w:rsidR="00607543" w:rsidRDefault="00607543" w:rsidP="005F1AB0">
      <w:pPr>
        <w:pStyle w:val="Default"/>
        <w:jc w:val="both"/>
        <w:rPr>
          <w:color w:val="auto"/>
          <w:sz w:val="22"/>
          <w:szCs w:val="22"/>
        </w:rPr>
      </w:pPr>
    </w:p>
    <w:p w14:paraId="3BC63ABA" w14:textId="77777777" w:rsidR="00607543" w:rsidRPr="00A67736" w:rsidRDefault="00607543" w:rsidP="005F1AB0">
      <w:pPr>
        <w:pStyle w:val="Default"/>
        <w:jc w:val="both"/>
        <w:rPr>
          <w:color w:val="auto"/>
          <w:sz w:val="22"/>
          <w:szCs w:val="22"/>
        </w:rPr>
      </w:pPr>
    </w:p>
    <w:p w14:paraId="0CED0DFD" w14:textId="77777777" w:rsidR="00E74D22" w:rsidRPr="00AB3191" w:rsidRDefault="005F1AB0" w:rsidP="006235E0">
      <w:pPr>
        <w:pStyle w:val="Default"/>
        <w:spacing w:line="360" w:lineRule="auto"/>
        <w:jc w:val="center"/>
        <w:rPr>
          <w:b/>
          <w:bCs/>
          <w:color w:val="auto"/>
          <w:sz w:val="22"/>
          <w:szCs w:val="22"/>
        </w:rPr>
      </w:pPr>
      <w:r w:rsidRPr="00765A11">
        <w:rPr>
          <w:b/>
          <w:bCs/>
          <w:color w:val="auto"/>
          <w:sz w:val="22"/>
          <w:szCs w:val="22"/>
        </w:rPr>
        <w:t xml:space="preserve">§ </w:t>
      </w:r>
      <w:r w:rsidR="00E74D22" w:rsidRPr="00AB3191">
        <w:rPr>
          <w:b/>
          <w:bCs/>
          <w:color w:val="auto"/>
          <w:sz w:val="22"/>
          <w:szCs w:val="22"/>
        </w:rPr>
        <w:t>3</w:t>
      </w:r>
    </w:p>
    <w:p w14:paraId="7D3E5F13" w14:textId="77777777" w:rsidR="00E74D22" w:rsidRPr="00AB3191" w:rsidRDefault="00AB3191" w:rsidP="00E74D22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AB3191">
        <w:rPr>
          <w:b/>
          <w:bCs/>
          <w:color w:val="auto"/>
          <w:sz w:val="22"/>
          <w:szCs w:val="22"/>
        </w:rPr>
        <w:t xml:space="preserve">Rechtswirkung der </w:t>
      </w:r>
      <w:r w:rsidR="00E74D22" w:rsidRPr="00AB3191">
        <w:rPr>
          <w:b/>
          <w:bCs/>
          <w:color w:val="auto"/>
          <w:sz w:val="22"/>
          <w:szCs w:val="22"/>
        </w:rPr>
        <w:t xml:space="preserve">Veränderungssperre </w:t>
      </w:r>
    </w:p>
    <w:p w14:paraId="5CD256A2" w14:textId="77777777" w:rsidR="00E74D22" w:rsidRPr="00AB3191" w:rsidRDefault="00E74D22" w:rsidP="00267BA0">
      <w:pPr>
        <w:pStyle w:val="Default"/>
        <w:ind w:left="426" w:hanging="426"/>
        <w:rPr>
          <w:color w:val="auto"/>
          <w:sz w:val="22"/>
          <w:szCs w:val="22"/>
        </w:rPr>
      </w:pPr>
      <w:r w:rsidRPr="00AB3191">
        <w:rPr>
          <w:color w:val="auto"/>
          <w:sz w:val="22"/>
          <w:szCs w:val="22"/>
        </w:rPr>
        <w:t>(1)</w:t>
      </w:r>
      <w:r w:rsidR="00267BA0">
        <w:rPr>
          <w:color w:val="auto"/>
          <w:sz w:val="22"/>
          <w:szCs w:val="22"/>
        </w:rPr>
        <w:tab/>
      </w:r>
      <w:r w:rsidRPr="00AB3191">
        <w:rPr>
          <w:color w:val="auto"/>
          <w:sz w:val="22"/>
          <w:szCs w:val="22"/>
        </w:rPr>
        <w:t xml:space="preserve">In dem von der Veränderungssperre betroffenen Gebiet dürfen: </w:t>
      </w:r>
    </w:p>
    <w:p w14:paraId="0C527313" w14:textId="77777777" w:rsidR="00E74D22" w:rsidRPr="00AB3191" w:rsidRDefault="00E74D22" w:rsidP="00E74D22">
      <w:pPr>
        <w:pStyle w:val="Default"/>
        <w:ind w:left="567" w:hanging="283"/>
        <w:rPr>
          <w:color w:val="auto"/>
          <w:sz w:val="22"/>
          <w:szCs w:val="22"/>
        </w:rPr>
      </w:pPr>
    </w:p>
    <w:p w14:paraId="52155ACC" w14:textId="77777777" w:rsidR="00E74D22" w:rsidRPr="00AB3191" w:rsidRDefault="00E74D22" w:rsidP="00267BA0">
      <w:pPr>
        <w:pStyle w:val="Default"/>
        <w:numPr>
          <w:ilvl w:val="0"/>
          <w:numId w:val="2"/>
        </w:numPr>
        <w:spacing w:after="100"/>
        <w:ind w:left="568" w:hanging="284"/>
        <w:jc w:val="both"/>
        <w:rPr>
          <w:color w:val="auto"/>
          <w:sz w:val="22"/>
          <w:szCs w:val="22"/>
        </w:rPr>
      </w:pPr>
      <w:r w:rsidRPr="00AB3191">
        <w:rPr>
          <w:color w:val="auto"/>
          <w:sz w:val="22"/>
          <w:szCs w:val="22"/>
        </w:rPr>
        <w:t xml:space="preserve">Vorhaben i.S. des § 29 BauGB nicht durchgeführt oder bauliche Anlagen nicht beseitigt werden; Vorhaben i.S. des § 29 BauGB sind: </w:t>
      </w:r>
    </w:p>
    <w:p w14:paraId="1849151C" w14:textId="77777777" w:rsidR="00E74D22" w:rsidRPr="00AB3191" w:rsidRDefault="00E74D22" w:rsidP="00267BA0">
      <w:pPr>
        <w:pStyle w:val="Default"/>
        <w:numPr>
          <w:ilvl w:val="0"/>
          <w:numId w:val="1"/>
        </w:numPr>
        <w:tabs>
          <w:tab w:val="left" w:pos="851"/>
        </w:tabs>
        <w:spacing w:after="100"/>
        <w:ind w:left="567" w:firstLine="0"/>
        <w:jc w:val="both"/>
        <w:rPr>
          <w:color w:val="auto"/>
          <w:sz w:val="22"/>
          <w:szCs w:val="22"/>
        </w:rPr>
      </w:pPr>
      <w:r w:rsidRPr="00AB3191">
        <w:rPr>
          <w:color w:val="auto"/>
          <w:sz w:val="22"/>
          <w:szCs w:val="22"/>
        </w:rPr>
        <w:t xml:space="preserve">Vorhaben, die die Errichtung, Änderung oder Nutzungsänderung von baulichen </w:t>
      </w:r>
      <w:r w:rsidRPr="00AB3191">
        <w:rPr>
          <w:color w:val="auto"/>
          <w:sz w:val="22"/>
          <w:szCs w:val="22"/>
        </w:rPr>
        <w:tab/>
        <w:t xml:space="preserve">Anlagen zum Inhalt haben und </w:t>
      </w:r>
    </w:p>
    <w:p w14:paraId="46BB9436" w14:textId="77777777" w:rsidR="00E74D22" w:rsidRPr="00AB3191" w:rsidRDefault="00E74D22" w:rsidP="00267BA0">
      <w:pPr>
        <w:pStyle w:val="Default"/>
        <w:numPr>
          <w:ilvl w:val="0"/>
          <w:numId w:val="1"/>
        </w:numPr>
        <w:ind w:left="851" w:hanging="284"/>
        <w:jc w:val="both"/>
        <w:rPr>
          <w:color w:val="auto"/>
          <w:sz w:val="22"/>
          <w:szCs w:val="22"/>
        </w:rPr>
      </w:pPr>
      <w:r w:rsidRPr="00AB3191">
        <w:rPr>
          <w:color w:val="auto"/>
          <w:sz w:val="22"/>
          <w:szCs w:val="22"/>
        </w:rPr>
        <w:t>Aufschüttungen und Abgrabungen größeren Umfangs sowie</w:t>
      </w:r>
      <w:r w:rsidR="00267BA0">
        <w:rPr>
          <w:color w:val="auto"/>
          <w:sz w:val="22"/>
          <w:szCs w:val="22"/>
        </w:rPr>
        <w:t xml:space="preserve"> </w:t>
      </w:r>
      <w:r w:rsidRPr="00AB3191">
        <w:rPr>
          <w:color w:val="auto"/>
          <w:sz w:val="22"/>
          <w:szCs w:val="22"/>
        </w:rPr>
        <w:t>Ausschachtungen,</w:t>
      </w:r>
      <w:r w:rsidR="00267BA0">
        <w:rPr>
          <w:color w:val="auto"/>
          <w:sz w:val="22"/>
          <w:szCs w:val="22"/>
        </w:rPr>
        <w:t xml:space="preserve"> </w:t>
      </w:r>
      <w:r w:rsidRPr="00AB3191">
        <w:rPr>
          <w:color w:val="auto"/>
          <w:sz w:val="22"/>
          <w:szCs w:val="22"/>
        </w:rPr>
        <w:t xml:space="preserve">Ablagerungen einschließlich Lagerstätten; </w:t>
      </w:r>
    </w:p>
    <w:p w14:paraId="2531A892" w14:textId="77777777" w:rsidR="00E74D22" w:rsidRPr="00AB3191" w:rsidRDefault="00E74D22" w:rsidP="00E74D22">
      <w:pPr>
        <w:pStyle w:val="Default"/>
        <w:ind w:left="567" w:hanging="283"/>
        <w:rPr>
          <w:color w:val="auto"/>
          <w:sz w:val="22"/>
          <w:szCs w:val="22"/>
        </w:rPr>
      </w:pPr>
    </w:p>
    <w:p w14:paraId="7D1CB16B" w14:textId="77777777" w:rsidR="00E74D22" w:rsidRPr="00AB3191" w:rsidRDefault="00E74D22" w:rsidP="00E74D22">
      <w:pPr>
        <w:pStyle w:val="Default"/>
        <w:numPr>
          <w:ilvl w:val="0"/>
          <w:numId w:val="2"/>
        </w:numPr>
        <w:jc w:val="both"/>
        <w:rPr>
          <w:color w:val="auto"/>
          <w:sz w:val="22"/>
          <w:szCs w:val="22"/>
        </w:rPr>
      </w:pPr>
      <w:r w:rsidRPr="00AB3191">
        <w:rPr>
          <w:color w:val="auto"/>
          <w:sz w:val="22"/>
          <w:szCs w:val="22"/>
        </w:rPr>
        <w:t xml:space="preserve">erhebliche oder wesentlich wertsteigernde Veränderungen von Grundstücken und baulichen Anlagen, deren Veränderungen nicht genehmigungs-, zustimmungs- oder anzeigepflichtig sind, nicht vorgenommen werden. </w:t>
      </w:r>
    </w:p>
    <w:p w14:paraId="50CF418B" w14:textId="77777777" w:rsidR="00E74D22" w:rsidRPr="00AB3191" w:rsidRDefault="00E74D22" w:rsidP="00E74D22">
      <w:pPr>
        <w:pStyle w:val="Default"/>
        <w:rPr>
          <w:color w:val="auto"/>
          <w:sz w:val="22"/>
          <w:szCs w:val="22"/>
        </w:rPr>
      </w:pPr>
    </w:p>
    <w:p w14:paraId="3A124C16" w14:textId="77777777" w:rsidR="003A2C2A" w:rsidRDefault="00E74D22" w:rsidP="003A2C2A">
      <w:pPr>
        <w:pStyle w:val="Default"/>
        <w:ind w:left="426" w:hanging="426"/>
        <w:jc w:val="both"/>
        <w:rPr>
          <w:color w:val="auto"/>
          <w:sz w:val="22"/>
          <w:szCs w:val="22"/>
        </w:rPr>
      </w:pPr>
      <w:r w:rsidRPr="00AB3191">
        <w:rPr>
          <w:color w:val="auto"/>
          <w:sz w:val="22"/>
          <w:szCs w:val="22"/>
        </w:rPr>
        <w:t>(2)</w:t>
      </w:r>
      <w:r w:rsidR="00267BA0">
        <w:rPr>
          <w:color w:val="auto"/>
          <w:sz w:val="22"/>
          <w:szCs w:val="22"/>
        </w:rPr>
        <w:tab/>
      </w:r>
      <w:r w:rsidRPr="00AB3191">
        <w:rPr>
          <w:color w:val="auto"/>
          <w:sz w:val="22"/>
          <w:szCs w:val="22"/>
        </w:rPr>
        <w:t xml:space="preserve">Wenn überwiegende öffentliche Belange nicht entgegenstehen, kann von der Veränderungssperre eine Ausnahme zugelassen werden. Die Entscheidung über Ausnahmen trifft die zuständige Bauaufsichtsbehörde. </w:t>
      </w:r>
    </w:p>
    <w:p w14:paraId="6AFDB29E" w14:textId="77777777" w:rsidR="003A2C2A" w:rsidRDefault="003A2C2A" w:rsidP="003A2C2A">
      <w:pPr>
        <w:pStyle w:val="Default"/>
        <w:ind w:left="426" w:hanging="426"/>
        <w:jc w:val="both"/>
        <w:rPr>
          <w:color w:val="auto"/>
          <w:sz w:val="22"/>
          <w:szCs w:val="22"/>
        </w:rPr>
      </w:pPr>
    </w:p>
    <w:p w14:paraId="21BA544E" w14:textId="6FD8FCCB" w:rsidR="00E74D22" w:rsidRDefault="00267BA0" w:rsidP="003A2C2A">
      <w:pPr>
        <w:pStyle w:val="Default"/>
        <w:ind w:left="426" w:hanging="426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(3)</w:t>
      </w:r>
      <w:r>
        <w:rPr>
          <w:color w:val="auto"/>
          <w:sz w:val="22"/>
          <w:szCs w:val="22"/>
        </w:rPr>
        <w:tab/>
      </w:r>
      <w:r w:rsidR="00E74D22" w:rsidRPr="00AB3191">
        <w:rPr>
          <w:color w:val="auto"/>
          <w:sz w:val="22"/>
          <w:szCs w:val="22"/>
        </w:rPr>
        <w:t>Vorhaben, die vor dem In-Kraft-Treten der Veränderungssperre baurechtlich genehmigt worden sind</w:t>
      </w:r>
      <w:r w:rsidR="000A7E14">
        <w:rPr>
          <w:color w:val="auto"/>
          <w:sz w:val="22"/>
          <w:szCs w:val="22"/>
        </w:rPr>
        <w:t>, Vorhaben, von denen die Gemeinde nach Maßgabe des Bauordnungsrechts Kenntnis erlangt hat und mit deren Ausführung vor dem Inkrafttreten der Veränderungssperre hätte begonnen werden dürfen, sowie</w:t>
      </w:r>
      <w:r w:rsidR="00E74D22" w:rsidRPr="00AB3191">
        <w:rPr>
          <w:color w:val="auto"/>
          <w:sz w:val="22"/>
          <w:szCs w:val="22"/>
        </w:rPr>
        <w:t xml:space="preserve">  Unterhaltungsarbeiten und die Fortführung einer bisher ausgeübten Nutzung werden von der Veränderungssperre nicht berührt.</w:t>
      </w:r>
    </w:p>
    <w:p w14:paraId="04410663" w14:textId="77777777" w:rsidR="009A46E2" w:rsidRDefault="009A46E2" w:rsidP="006235E0">
      <w:pPr>
        <w:pStyle w:val="Default"/>
        <w:spacing w:line="360" w:lineRule="auto"/>
        <w:ind w:left="426" w:hanging="426"/>
        <w:jc w:val="both"/>
        <w:rPr>
          <w:color w:val="auto"/>
          <w:sz w:val="22"/>
          <w:szCs w:val="22"/>
        </w:rPr>
      </w:pPr>
    </w:p>
    <w:p w14:paraId="1EF24525" w14:textId="77777777" w:rsidR="000E60C2" w:rsidRDefault="000E60C2" w:rsidP="006235E0">
      <w:pPr>
        <w:pStyle w:val="Default"/>
        <w:spacing w:line="360" w:lineRule="auto"/>
        <w:ind w:left="426" w:hanging="426"/>
        <w:jc w:val="both"/>
        <w:rPr>
          <w:color w:val="auto"/>
          <w:sz w:val="22"/>
          <w:szCs w:val="22"/>
        </w:rPr>
      </w:pPr>
    </w:p>
    <w:p w14:paraId="5C57E293" w14:textId="77777777" w:rsidR="00E74D22" w:rsidRPr="001F3C5F" w:rsidRDefault="00E74D22" w:rsidP="00E74D22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1F3C5F">
        <w:rPr>
          <w:b/>
          <w:bCs/>
          <w:color w:val="auto"/>
          <w:sz w:val="22"/>
          <w:szCs w:val="22"/>
        </w:rPr>
        <w:t xml:space="preserve">§ 4 </w:t>
      </w:r>
    </w:p>
    <w:p w14:paraId="329C1564" w14:textId="77777777" w:rsidR="00E74D22" w:rsidRPr="001F3C5F" w:rsidRDefault="00E74D22" w:rsidP="00E74D22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 w:rsidRPr="001F3C5F">
        <w:rPr>
          <w:b/>
          <w:bCs/>
          <w:color w:val="auto"/>
          <w:sz w:val="22"/>
          <w:szCs w:val="22"/>
        </w:rPr>
        <w:t xml:space="preserve">In-Kraft-Treten und Außer-Kraft-Treten der Veränderungssperre </w:t>
      </w:r>
    </w:p>
    <w:p w14:paraId="28ED7E10" w14:textId="184F0752" w:rsidR="00E74D22" w:rsidRPr="001F3C5F" w:rsidRDefault="00E74D22" w:rsidP="00E74D22">
      <w:pPr>
        <w:pStyle w:val="Default"/>
        <w:jc w:val="both"/>
        <w:rPr>
          <w:color w:val="auto"/>
          <w:sz w:val="22"/>
          <w:szCs w:val="22"/>
        </w:rPr>
      </w:pPr>
      <w:r w:rsidRPr="001F3C5F">
        <w:rPr>
          <w:color w:val="auto"/>
          <w:sz w:val="22"/>
          <w:szCs w:val="22"/>
        </w:rPr>
        <w:t xml:space="preserve">Die Veränderungssperre tritt am </w:t>
      </w:r>
      <w:r w:rsidR="00721D9A">
        <w:rPr>
          <w:color w:val="auto"/>
          <w:sz w:val="22"/>
          <w:szCs w:val="22"/>
        </w:rPr>
        <w:t>02</w:t>
      </w:r>
      <w:r w:rsidRPr="00094944">
        <w:rPr>
          <w:color w:val="auto"/>
          <w:sz w:val="22"/>
          <w:szCs w:val="22"/>
        </w:rPr>
        <w:t>.</w:t>
      </w:r>
      <w:r w:rsidR="001F3C5F" w:rsidRPr="00094944">
        <w:rPr>
          <w:color w:val="auto"/>
          <w:sz w:val="22"/>
          <w:szCs w:val="22"/>
        </w:rPr>
        <w:t>0</w:t>
      </w:r>
      <w:r w:rsidR="00721D9A">
        <w:rPr>
          <w:color w:val="auto"/>
          <w:sz w:val="22"/>
          <w:szCs w:val="22"/>
        </w:rPr>
        <w:t>7</w:t>
      </w:r>
      <w:r w:rsidR="001F3C5F" w:rsidRPr="00094944">
        <w:rPr>
          <w:color w:val="auto"/>
          <w:sz w:val="22"/>
          <w:szCs w:val="22"/>
        </w:rPr>
        <w:t>.2022</w:t>
      </w:r>
      <w:r w:rsidRPr="001F3C5F">
        <w:rPr>
          <w:color w:val="auto"/>
          <w:sz w:val="22"/>
          <w:szCs w:val="22"/>
        </w:rPr>
        <w:t xml:space="preserve">, dem Tag nach der Bekanntmachung, in </w:t>
      </w:r>
      <w:r w:rsidR="001F3C5F" w:rsidRPr="001F3C5F">
        <w:rPr>
          <w:color w:val="auto"/>
          <w:sz w:val="22"/>
          <w:szCs w:val="22"/>
        </w:rPr>
        <w:t xml:space="preserve">Kraft und am </w:t>
      </w:r>
      <w:r w:rsidR="00721D9A">
        <w:rPr>
          <w:color w:val="auto"/>
          <w:sz w:val="22"/>
          <w:szCs w:val="22"/>
        </w:rPr>
        <w:t>01</w:t>
      </w:r>
      <w:r w:rsidR="001F3C5F" w:rsidRPr="00094944">
        <w:rPr>
          <w:color w:val="auto"/>
          <w:sz w:val="22"/>
          <w:szCs w:val="22"/>
        </w:rPr>
        <w:t>.0</w:t>
      </w:r>
      <w:r w:rsidR="008D352B">
        <w:rPr>
          <w:color w:val="auto"/>
          <w:sz w:val="22"/>
          <w:szCs w:val="22"/>
        </w:rPr>
        <w:t>7</w:t>
      </w:r>
      <w:r w:rsidR="001F3C5F" w:rsidRPr="00094944">
        <w:rPr>
          <w:color w:val="auto"/>
          <w:sz w:val="22"/>
          <w:szCs w:val="22"/>
        </w:rPr>
        <w:t>.2024</w:t>
      </w:r>
      <w:r w:rsidRPr="001F3C5F">
        <w:rPr>
          <w:color w:val="auto"/>
          <w:sz w:val="22"/>
          <w:szCs w:val="22"/>
        </w:rPr>
        <w:t xml:space="preserve"> außer Kraft. Die Veränderungssperre tritt in jedem Fall außer Kraft, sobald und soweit </w:t>
      </w:r>
      <w:r w:rsidR="001F3C5F" w:rsidRPr="001F3C5F">
        <w:rPr>
          <w:color w:val="auto"/>
          <w:sz w:val="22"/>
          <w:szCs w:val="22"/>
        </w:rPr>
        <w:t>der Bebauungsplan</w:t>
      </w:r>
      <w:r w:rsidR="006A5E37">
        <w:rPr>
          <w:color w:val="auto"/>
          <w:sz w:val="22"/>
          <w:szCs w:val="22"/>
        </w:rPr>
        <w:t xml:space="preserve"> Nr.</w:t>
      </w:r>
      <w:r w:rsidR="001F3C5F" w:rsidRPr="001F3C5F">
        <w:rPr>
          <w:color w:val="auto"/>
          <w:sz w:val="22"/>
          <w:szCs w:val="22"/>
        </w:rPr>
        <w:t xml:space="preserve"> 234</w:t>
      </w:r>
      <w:r w:rsidRPr="001F3C5F">
        <w:rPr>
          <w:color w:val="auto"/>
          <w:sz w:val="22"/>
          <w:szCs w:val="22"/>
        </w:rPr>
        <w:t xml:space="preserve"> </w:t>
      </w:r>
      <w:r w:rsidR="007007D9">
        <w:rPr>
          <w:color w:val="auto"/>
          <w:sz w:val="22"/>
          <w:szCs w:val="22"/>
        </w:rPr>
        <w:t>"Gewerbegebiet Willy-Brandt-Ring</w:t>
      </w:r>
      <w:r w:rsidR="008D352B">
        <w:rPr>
          <w:color w:val="auto"/>
          <w:sz w:val="22"/>
          <w:szCs w:val="22"/>
        </w:rPr>
        <w:t>“</w:t>
      </w:r>
      <w:r w:rsidR="007007D9" w:rsidRPr="001F3C5F">
        <w:rPr>
          <w:color w:val="auto"/>
          <w:sz w:val="22"/>
          <w:szCs w:val="22"/>
        </w:rPr>
        <w:t xml:space="preserve"> </w:t>
      </w:r>
      <w:r w:rsidRPr="001F3C5F">
        <w:rPr>
          <w:color w:val="auto"/>
          <w:sz w:val="22"/>
          <w:szCs w:val="22"/>
        </w:rPr>
        <w:t>für das in</w:t>
      </w:r>
      <w:r w:rsidR="007007D9">
        <w:rPr>
          <w:color w:val="auto"/>
          <w:sz w:val="22"/>
          <w:szCs w:val="22"/>
        </w:rPr>
        <w:br/>
      </w:r>
      <w:r w:rsidRPr="001F3C5F">
        <w:rPr>
          <w:color w:val="auto"/>
          <w:sz w:val="22"/>
          <w:szCs w:val="22"/>
        </w:rPr>
        <w:t xml:space="preserve">§ 2 genannte Gebiet rechtsverbindlich wird. </w:t>
      </w:r>
    </w:p>
    <w:p w14:paraId="2F86615C" w14:textId="1244A3E4" w:rsidR="00A30EAB" w:rsidRPr="00E162F5" w:rsidRDefault="0017395B" w:rsidP="00A30EAB">
      <w:pPr>
        <w:spacing w:line="240" w:lineRule="auto"/>
        <w:jc w:val="both"/>
        <w:rPr>
          <w:rStyle w:val="markedcontent"/>
          <w:rFonts w:ascii="Arial" w:hAnsi="Arial" w:cs="Arial"/>
        </w:rPr>
      </w:pPr>
      <w:r w:rsidRPr="00633D70">
        <w:rPr>
          <w:i/>
        </w:rPr>
        <w:br/>
      </w:r>
      <w:r w:rsidRPr="00E162F5">
        <w:rPr>
          <w:rStyle w:val="markedcontent"/>
          <w:rFonts w:ascii="Arial" w:hAnsi="Arial" w:cs="Arial"/>
        </w:rPr>
        <w:t xml:space="preserve">Die vorstehende Satzung wird hiermit gemäß § 16 </w:t>
      </w:r>
      <w:r w:rsidR="00261FD0">
        <w:rPr>
          <w:rStyle w:val="markedcontent"/>
          <w:rFonts w:ascii="Arial" w:hAnsi="Arial" w:cs="Arial"/>
        </w:rPr>
        <w:t>(</w:t>
      </w:r>
      <w:r w:rsidRPr="00E162F5">
        <w:rPr>
          <w:rStyle w:val="markedcontent"/>
          <w:rFonts w:ascii="Arial" w:hAnsi="Arial" w:cs="Arial"/>
        </w:rPr>
        <w:t>2</w:t>
      </w:r>
      <w:r w:rsidR="00261FD0">
        <w:rPr>
          <w:rStyle w:val="markedcontent"/>
          <w:rFonts w:ascii="Arial" w:hAnsi="Arial" w:cs="Arial"/>
        </w:rPr>
        <w:t>)</w:t>
      </w:r>
      <w:r w:rsidRPr="00E162F5">
        <w:rPr>
          <w:rStyle w:val="markedcontent"/>
          <w:rFonts w:ascii="Arial" w:hAnsi="Arial" w:cs="Arial"/>
        </w:rPr>
        <w:t xml:space="preserve"> BauGB öffentlich bekannt</w:t>
      </w:r>
      <w:r w:rsidRPr="00E162F5">
        <w:br/>
      </w:r>
      <w:r w:rsidRPr="00E162F5">
        <w:rPr>
          <w:rStyle w:val="markedcontent"/>
          <w:rFonts w:ascii="Arial" w:hAnsi="Arial" w:cs="Arial"/>
        </w:rPr>
        <w:t>gemacht. Es wird darauf hingewiesen, dass eine Verletzung von Verfahrens- und</w:t>
      </w:r>
      <w:r w:rsidRPr="00E162F5">
        <w:br/>
      </w:r>
      <w:r w:rsidRPr="00E162F5">
        <w:rPr>
          <w:rStyle w:val="markedcontent"/>
          <w:rFonts w:ascii="Arial" w:hAnsi="Arial" w:cs="Arial"/>
        </w:rPr>
        <w:t>Formvorschriften der Gemeindeordnung NW und des BauGB beim Zustandekommen dieser</w:t>
      </w:r>
      <w:r w:rsidRPr="00E162F5">
        <w:br/>
      </w:r>
      <w:r w:rsidRPr="00E162F5">
        <w:rPr>
          <w:rStyle w:val="markedcontent"/>
          <w:rFonts w:ascii="Arial" w:hAnsi="Arial" w:cs="Arial"/>
        </w:rPr>
        <w:t>Satzung nach Ablauf eines Jahres - bei Mängeln der Abwägung 7 Jahre - seit dieser</w:t>
      </w:r>
      <w:r w:rsidRPr="00E162F5">
        <w:br/>
      </w:r>
      <w:r w:rsidRPr="00E162F5">
        <w:rPr>
          <w:rStyle w:val="markedcontent"/>
          <w:rFonts w:ascii="Arial" w:hAnsi="Arial" w:cs="Arial"/>
        </w:rPr>
        <w:t>Bekanntmachung nicht mehr geltend gemacht werden können, es sei denn</w:t>
      </w:r>
    </w:p>
    <w:p w14:paraId="7B6621AE" w14:textId="51F46752" w:rsidR="0017395B" w:rsidRPr="00E162F5" w:rsidRDefault="00A30EAB" w:rsidP="00A30EAB">
      <w:pPr>
        <w:spacing w:after="0" w:line="360" w:lineRule="auto"/>
        <w:ind w:left="284" w:hanging="284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a)</w:t>
      </w:r>
      <w:r>
        <w:rPr>
          <w:rStyle w:val="markedcontent"/>
          <w:rFonts w:ascii="Arial" w:hAnsi="Arial" w:cs="Arial"/>
        </w:rPr>
        <w:tab/>
      </w:r>
      <w:r w:rsidR="0017395B" w:rsidRPr="00E162F5">
        <w:rPr>
          <w:rStyle w:val="markedcontent"/>
          <w:rFonts w:ascii="Arial" w:hAnsi="Arial" w:cs="Arial"/>
        </w:rPr>
        <w:t>eine vorgeschriebene Genehmigung fehlt,</w:t>
      </w:r>
    </w:p>
    <w:p w14:paraId="18270D32" w14:textId="11A7618D" w:rsidR="0017395B" w:rsidRPr="00E162F5" w:rsidRDefault="00A30EAB" w:rsidP="00A30EAB">
      <w:pPr>
        <w:spacing w:after="0" w:line="360" w:lineRule="auto"/>
        <w:ind w:left="284" w:hanging="284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b)</w:t>
      </w:r>
      <w:r>
        <w:rPr>
          <w:rStyle w:val="markedcontent"/>
          <w:rFonts w:ascii="Arial" w:hAnsi="Arial" w:cs="Arial"/>
        </w:rPr>
        <w:tab/>
      </w:r>
      <w:r w:rsidR="0017395B" w:rsidRPr="00E162F5">
        <w:rPr>
          <w:rStyle w:val="markedcontent"/>
          <w:rFonts w:ascii="Arial" w:hAnsi="Arial" w:cs="Arial"/>
        </w:rPr>
        <w:t>die Satzung ist nicht ordnungsgemäß bekannt gemacht worden,</w:t>
      </w:r>
    </w:p>
    <w:p w14:paraId="2D31E9BE" w14:textId="5D5610DF" w:rsidR="0017395B" w:rsidRPr="00E162F5" w:rsidRDefault="0017395B" w:rsidP="00A30EAB">
      <w:pPr>
        <w:spacing w:after="0" w:line="360" w:lineRule="auto"/>
        <w:ind w:left="284" w:hanging="284"/>
        <w:jc w:val="both"/>
        <w:rPr>
          <w:rStyle w:val="markedcontent"/>
          <w:rFonts w:ascii="Arial" w:hAnsi="Arial" w:cs="Arial"/>
        </w:rPr>
      </w:pPr>
      <w:r w:rsidRPr="00E162F5">
        <w:rPr>
          <w:rStyle w:val="markedcontent"/>
          <w:rFonts w:ascii="Arial" w:hAnsi="Arial" w:cs="Arial"/>
        </w:rPr>
        <w:t xml:space="preserve">c) </w:t>
      </w:r>
      <w:r w:rsidR="00A30EAB">
        <w:rPr>
          <w:rStyle w:val="markedcontent"/>
          <w:rFonts w:ascii="Arial" w:hAnsi="Arial" w:cs="Arial"/>
        </w:rPr>
        <w:tab/>
      </w:r>
      <w:r w:rsidRPr="00E162F5">
        <w:rPr>
          <w:rStyle w:val="markedcontent"/>
          <w:rFonts w:ascii="Arial" w:hAnsi="Arial" w:cs="Arial"/>
        </w:rPr>
        <w:t>der Bürgermeister hat den Satzungsbeschluss vorher beanstandet oder</w:t>
      </w:r>
    </w:p>
    <w:p w14:paraId="6EE0E8CD" w14:textId="56B593FB" w:rsidR="0017395B" w:rsidRDefault="0017395B" w:rsidP="00A30EAB">
      <w:pPr>
        <w:spacing w:after="0" w:line="240" w:lineRule="auto"/>
        <w:ind w:left="284" w:hanging="284"/>
        <w:jc w:val="both"/>
        <w:rPr>
          <w:rStyle w:val="markedcontent"/>
          <w:rFonts w:ascii="Arial" w:hAnsi="Arial" w:cs="Arial"/>
        </w:rPr>
      </w:pPr>
      <w:r w:rsidRPr="00E162F5">
        <w:rPr>
          <w:rStyle w:val="markedcontent"/>
          <w:rFonts w:ascii="Arial" w:hAnsi="Arial" w:cs="Arial"/>
        </w:rPr>
        <w:t>d)</w:t>
      </w:r>
      <w:r w:rsidR="00A30EAB">
        <w:rPr>
          <w:rStyle w:val="markedcontent"/>
          <w:rFonts w:ascii="Arial" w:hAnsi="Arial" w:cs="Arial"/>
        </w:rPr>
        <w:tab/>
      </w:r>
      <w:r w:rsidRPr="00E162F5">
        <w:rPr>
          <w:rStyle w:val="markedcontent"/>
          <w:rFonts w:ascii="Arial" w:hAnsi="Arial" w:cs="Arial"/>
        </w:rPr>
        <w:t xml:space="preserve">der Verfahrensmangel ist gegenüber der Stadt </w:t>
      </w:r>
      <w:r w:rsidR="00904A91">
        <w:rPr>
          <w:rStyle w:val="markedcontent"/>
          <w:rFonts w:ascii="Arial" w:hAnsi="Arial" w:cs="Arial"/>
        </w:rPr>
        <w:t>Würselen</w:t>
      </w:r>
      <w:r w:rsidRPr="00E162F5">
        <w:rPr>
          <w:rStyle w:val="markedcontent"/>
          <w:rFonts w:ascii="Arial" w:hAnsi="Arial" w:cs="Arial"/>
        </w:rPr>
        <w:t xml:space="preserve"> vorher schriftlich gerügt</w:t>
      </w:r>
      <w:r w:rsidRPr="00E162F5">
        <w:br/>
      </w:r>
      <w:r w:rsidRPr="00E162F5">
        <w:rPr>
          <w:rStyle w:val="markedcontent"/>
          <w:rFonts w:ascii="Arial" w:hAnsi="Arial" w:cs="Arial"/>
        </w:rPr>
        <w:t>worden und dabei die verletzte Rechtsvorschrift und die Tatsache bezeichnet worden</w:t>
      </w:r>
      <w:proofErr w:type="gramStart"/>
      <w:r w:rsidRPr="00E162F5">
        <w:rPr>
          <w:rStyle w:val="markedcontent"/>
          <w:rFonts w:ascii="Arial" w:hAnsi="Arial" w:cs="Arial"/>
        </w:rPr>
        <w:t>,</w:t>
      </w:r>
      <w:proofErr w:type="gramEnd"/>
      <w:r w:rsidRPr="00E162F5">
        <w:br/>
      </w:r>
      <w:r w:rsidRPr="00E162F5">
        <w:rPr>
          <w:rStyle w:val="markedcontent"/>
          <w:rFonts w:ascii="Arial" w:hAnsi="Arial" w:cs="Arial"/>
        </w:rPr>
        <w:t>die den Mangel ergibt.</w:t>
      </w:r>
    </w:p>
    <w:p w14:paraId="0EFADC3A" w14:textId="77777777" w:rsidR="001E0695" w:rsidRPr="00E162F5" w:rsidRDefault="001E0695" w:rsidP="00A30EAB">
      <w:pPr>
        <w:spacing w:after="0" w:line="240" w:lineRule="auto"/>
        <w:ind w:left="284" w:hanging="284"/>
        <w:jc w:val="both"/>
        <w:rPr>
          <w:rStyle w:val="markedcontent"/>
          <w:rFonts w:ascii="Arial" w:hAnsi="Arial" w:cs="Arial"/>
        </w:rPr>
      </w:pPr>
    </w:p>
    <w:p w14:paraId="454FE4F4" w14:textId="44613D50" w:rsidR="0017395B" w:rsidRPr="00E162F5" w:rsidRDefault="0017395B" w:rsidP="00E162F5">
      <w:pPr>
        <w:spacing w:after="0" w:line="240" w:lineRule="auto"/>
        <w:jc w:val="both"/>
        <w:rPr>
          <w:rStyle w:val="markedcontent"/>
          <w:rFonts w:ascii="Arial" w:hAnsi="Arial" w:cs="Arial"/>
        </w:rPr>
      </w:pPr>
      <w:r w:rsidRPr="00E162F5">
        <w:br/>
      </w:r>
      <w:r w:rsidRPr="00E162F5">
        <w:rPr>
          <w:rStyle w:val="markedcontent"/>
          <w:rFonts w:ascii="Arial" w:hAnsi="Arial" w:cs="Arial"/>
        </w:rPr>
        <w:t xml:space="preserve">Auf die Vorschriften des § 18 </w:t>
      </w:r>
      <w:r w:rsidR="00261FD0">
        <w:rPr>
          <w:rStyle w:val="markedcontent"/>
          <w:rFonts w:ascii="Arial" w:hAnsi="Arial" w:cs="Arial"/>
        </w:rPr>
        <w:t>(</w:t>
      </w:r>
      <w:r w:rsidRPr="00E162F5">
        <w:rPr>
          <w:rStyle w:val="markedcontent"/>
          <w:rFonts w:ascii="Arial" w:hAnsi="Arial" w:cs="Arial"/>
        </w:rPr>
        <w:t>2</w:t>
      </w:r>
      <w:r w:rsidR="00261FD0">
        <w:rPr>
          <w:rStyle w:val="markedcontent"/>
          <w:rFonts w:ascii="Arial" w:hAnsi="Arial" w:cs="Arial"/>
        </w:rPr>
        <w:t>)</w:t>
      </w:r>
      <w:r w:rsidRPr="00E162F5">
        <w:rPr>
          <w:rStyle w:val="markedcontent"/>
          <w:rFonts w:ascii="Arial" w:hAnsi="Arial" w:cs="Arial"/>
        </w:rPr>
        <w:t xml:space="preserve"> Satz 2 und 3 BauGB über die Geltendmachung</w:t>
      </w:r>
      <w:r w:rsidRPr="00E162F5">
        <w:br/>
      </w:r>
      <w:r w:rsidRPr="00E162F5">
        <w:rPr>
          <w:rStyle w:val="markedcontent"/>
          <w:rFonts w:ascii="Arial" w:hAnsi="Arial" w:cs="Arial"/>
        </w:rPr>
        <w:t>etwaiger Entschädigungsansprüche für eingetretene Vermögensnachteile durch die</w:t>
      </w:r>
      <w:r w:rsidRPr="00E162F5">
        <w:br/>
      </w:r>
      <w:r w:rsidRPr="00E162F5">
        <w:rPr>
          <w:rStyle w:val="markedcontent"/>
          <w:rFonts w:ascii="Arial" w:hAnsi="Arial" w:cs="Arial"/>
        </w:rPr>
        <w:t xml:space="preserve">Veränderungssperre nach § 18 und des § 18 </w:t>
      </w:r>
      <w:r w:rsidR="00261FD0">
        <w:rPr>
          <w:rStyle w:val="markedcontent"/>
          <w:rFonts w:ascii="Arial" w:hAnsi="Arial" w:cs="Arial"/>
        </w:rPr>
        <w:t>(</w:t>
      </w:r>
      <w:r w:rsidRPr="00E162F5">
        <w:rPr>
          <w:rStyle w:val="markedcontent"/>
          <w:rFonts w:ascii="Arial" w:hAnsi="Arial" w:cs="Arial"/>
        </w:rPr>
        <w:t>3</w:t>
      </w:r>
      <w:r w:rsidR="00261FD0">
        <w:rPr>
          <w:rStyle w:val="markedcontent"/>
          <w:rFonts w:ascii="Arial" w:hAnsi="Arial" w:cs="Arial"/>
        </w:rPr>
        <w:t>)</w:t>
      </w:r>
      <w:r w:rsidRPr="00E162F5">
        <w:rPr>
          <w:rStyle w:val="markedcontent"/>
          <w:rFonts w:ascii="Arial" w:hAnsi="Arial" w:cs="Arial"/>
        </w:rPr>
        <w:t xml:space="preserve"> über das Erlöschen der</w:t>
      </w:r>
      <w:r w:rsidRPr="00E162F5">
        <w:br/>
      </w:r>
      <w:r w:rsidRPr="00E162F5">
        <w:rPr>
          <w:rStyle w:val="markedcontent"/>
          <w:rFonts w:ascii="Arial" w:hAnsi="Arial" w:cs="Arial"/>
        </w:rPr>
        <w:t>Entschädigungsansprüche bei nicht fristgerechter Geltendmachung wird hingewiesen.</w:t>
      </w:r>
    </w:p>
    <w:p w14:paraId="0ECBB676" w14:textId="77777777" w:rsidR="00E74D22" w:rsidRPr="00E162F5" w:rsidRDefault="00E74D22" w:rsidP="00E162F5">
      <w:pPr>
        <w:pStyle w:val="Default"/>
        <w:jc w:val="both"/>
        <w:rPr>
          <w:color w:val="auto"/>
          <w:sz w:val="22"/>
          <w:szCs w:val="22"/>
        </w:rPr>
      </w:pPr>
    </w:p>
    <w:p w14:paraId="266FD29B" w14:textId="77777777" w:rsidR="0017395B" w:rsidRPr="00E162F5" w:rsidRDefault="0017395B" w:rsidP="00E162F5">
      <w:pPr>
        <w:pStyle w:val="Default"/>
        <w:jc w:val="both"/>
        <w:rPr>
          <w:color w:val="auto"/>
          <w:sz w:val="22"/>
          <w:szCs w:val="22"/>
        </w:rPr>
      </w:pPr>
    </w:p>
    <w:p w14:paraId="2AEF38E9" w14:textId="77777777" w:rsidR="0017395B" w:rsidRDefault="0017395B" w:rsidP="00E74D22">
      <w:pPr>
        <w:pStyle w:val="Default"/>
        <w:rPr>
          <w:i/>
          <w:color w:val="auto"/>
          <w:sz w:val="22"/>
          <w:szCs w:val="22"/>
        </w:rPr>
      </w:pPr>
    </w:p>
    <w:p w14:paraId="0A53B90A" w14:textId="77777777" w:rsidR="00261FD0" w:rsidRDefault="00261FD0" w:rsidP="00E74D22">
      <w:pPr>
        <w:pStyle w:val="Default"/>
        <w:rPr>
          <w:i/>
          <w:color w:val="auto"/>
          <w:sz w:val="22"/>
          <w:szCs w:val="22"/>
        </w:rPr>
      </w:pPr>
    </w:p>
    <w:p w14:paraId="21020AC3" w14:textId="77777777" w:rsidR="00AA5F2A" w:rsidRPr="004B560A" w:rsidRDefault="001D7961" w:rsidP="00AA5F2A">
      <w:pPr>
        <w:pStyle w:val="Default"/>
        <w:spacing w:after="100"/>
        <w:ind w:right="-567"/>
        <w:rPr>
          <w:color w:val="auto"/>
          <w:sz w:val="22"/>
          <w:szCs w:val="22"/>
        </w:rPr>
      </w:pPr>
      <w:r w:rsidRPr="004B560A">
        <w:rPr>
          <w:color w:val="auto"/>
          <w:sz w:val="22"/>
          <w:szCs w:val="22"/>
        </w:rPr>
        <w:t>Würselen</w:t>
      </w:r>
      <w:r w:rsidR="009D4802">
        <w:rPr>
          <w:color w:val="auto"/>
          <w:sz w:val="22"/>
          <w:szCs w:val="22"/>
        </w:rPr>
        <w:t xml:space="preserve">, den </w:t>
      </w:r>
      <w:r w:rsidR="00F17763">
        <w:rPr>
          <w:color w:val="auto"/>
          <w:sz w:val="22"/>
          <w:szCs w:val="22"/>
        </w:rPr>
        <w:t>24</w:t>
      </w:r>
      <w:r w:rsidR="004B560A" w:rsidRPr="000E59DD">
        <w:rPr>
          <w:color w:val="auto"/>
          <w:sz w:val="22"/>
          <w:szCs w:val="22"/>
        </w:rPr>
        <w:t>.0</w:t>
      </w:r>
      <w:r w:rsidR="009D4802" w:rsidRPr="000E59DD">
        <w:rPr>
          <w:color w:val="auto"/>
          <w:sz w:val="22"/>
          <w:szCs w:val="22"/>
        </w:rPr>
        <w:t>6</w:t>
      </w:r>
      <w:r w:rsidR="004B560A" w:rsidRPr="000E59DD">
        <w:rPr>
          <w:color w:val="auto"/>
          <w:sz w:val="22"/>
          <w:szCs w:val="22"/>
        </w:rPr>
        <w:t>.2022</w:t>
      </w:r>
      <w:r w:rsidR="00E74D22" w:rsidRPr="004B560A">
        <w:rPr>
          <w:color w:val="auto"/>
          <w:sz w:val="22"/>
          <w:szCs w:val="22"/>
        </w:rPr>
        <w:t xml:space="preserve"> </w:t>
      </w:r>
      <w:r w:rsidR="000D6C95">
        <w:rPr>
          <w:color w:val="auto"/>
          <w:sz w:val="22"/>
          <w:szCs w:val="22"/>
        </w:rPr>
        <w:t xml:space="preserve">  </w:t>
      </w:r>
      <w:r w:rsidR="00094944">
        <w:rPr>
          <w:i/>
          <w:color w:val="auto"/>
          <w:sz w:val="22"/>
          <w:szCs w:val="22"/>
        </w:rPr>
        <w:br/>
      </w:r>
      <w:r w:rsidR="00AA5F2A" w:rsidRPr="004B560A">
        <w:rPr>
          <w:color w:val="auto"/>
          <w:sz w:val="22"/>
          <w:szCs w:val="22"/>
        </w:rPr>
        <w:t>Der</w:t>
      </w:r>
      <w:r w:rsidR="00AA5F2A">
        <w:rPr>
          <w:color w:val="auto"/>
          <w:sz w:val="22"/>
          <w:szCs w:val="22"/>
        </w:rPr>
        <w:t xml:space="preserve"> </w:t>
      </w:r>
      <w:r w:rsidR="00AA5F2A" w:rsidRPr="004B560A">
        <w:rPr>
          <w:color w:val="auto"/>
          <w:sz w:val="22"/>
          <w:szCs w:val="22"/>
        </w:rPr>
        <w:t xml:space="preserve">Bürgermeister </w:t>
      </w:r>
    </w:p>
    <w:p w14:paraId="20AB73A6" w14:textId="45113BC5" w:rsidR="00AA5F2A" w:rsidRDefault="00AA5F2A" w:rsidP="00094944">
      <w:pPr>
        <w:pStyle w:val="Default"/>
        <w:ind w:right="-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gez.: </w:t>
      </w:r>
      <w:r w:rsidRPr="004B560A">
        <w:rPr>
          <w:color w:val="auto"/>
          <w:sz w:val="22"/>
          <w:szCs w:val="22"/>
        </w:rPr>
        <w:t>Roge</w:t>
      </w:r>
      <w:r>
        <w:rPr>
          <w:color w:val="auto"/>
          <w:sz w:val="22"/>
          <w:szCs w:val="22"/>
        </w:rPr>
        <w:t>r</w:t>
      </w:r>
      <w:r w:rsidRPr="004B560A">
        <w:rPr>
          <w:color w:val="auto"/>
          <w:sz w:val="22"/>
          <w:szCs w:val="22"/>
        </w:rPr>
        <w:t xml:space="preserve"> Nießen</w:t>
      </w:r>
    </w:p>
    <w:p w14:paraId="053E9596" w14:textId="77777777" w:rsidR="00E74D22" w:rsidRPr="004B560A" w:rsidRDefault="00E74D22" w:rsidP="00E74D22">
      <w:pPr>
        <w:pStyle w:val="Default"/>
        <w:rPr>
          <w:color w:val="auto"/>
          <w:sz w:val="22"/>
          <w:szCs w:val="22"/>
        </w:rPr>
      </w:pPr>
    </w:p>
    <w:p w14:paraId="2AA36A99" w14:textId="2E9A5244" w:rsidR="00E74D22" w:rsidRPr="004B560A" w:rsidRDefault="00E74D22" w:rsidP="00E74D22">
      <w:pPr>
        <w:pStyle w:val="Default"/>
        <w:rPr>
          <w:color w:val="auto"/>
          <w:sz w:val="22"/>
          <w:szCs w:val="22"/>
        </w:rPr>
      </w:pPr>
    </w:p>
    <w:p w14:paraId="3BE0177F" w14:textId="77777777" w:rsidR="000E60C2" w:rsidRDefault="000E60C2" w:rsidP="008167CE">
      <w:pPr>
        <w:pStyle w:val="Default"/>
        <w:rPr>
          <w:b/>
          <w:color w:val="auto"/>
          <w:sz w:val="22"/>
          <w:szCs w:val="22"/>
        </w:rPr>
      </w:pPr>
      <w:bookmarkStart w:id="0" w:name="_GoBack"/>
      <w:bookmarkEnd w:id="0"/>
    </w:p>
    <w:p w14:paraId="412EBC6C" w14:textId="77777777" w:rsidR="00AA5F2A" w:rsidRDefault="00AA5F2A" w:rsidP="008167CE">
      <w:pPr>
        <w:pStyle w:val="Default"/>
        <w:rPr>
          <w:b/>
          <w:color w:val="auto"/>
          <w:sz w:val="22"/>
          <w:szCs w:val="22"/>
        </w:rPr>
      </w:pPr>
    </w:p>
    <w:p w14:paraId="38FF5C7E" w14:textId="77777777" w:rsidR="00AA5F2A" w:rsidRDefault="00AA5F2A" w:rsidP="008167CE">
      <w:pPr>
        <w:pStyle w:val="Default"/>
        <w:rPr>
          <w:b/>
          <w:color w:val="auto"/>
          <w:sz w:val="22"/>
          <w:szCs w:val="22"/>
        </w:rPr>
      </w:pPr>
    </w:p>
    <w:p w14:paraId="01BA02A4" w14:textId="77777777" w:rsidR="009A46E2" w:rsidRDefault="009A46E2" w:rsidP="008167CE">
      <w:pPr>
        <w:pStyle w:val="Default"/>
        <w:rPr>
          <w:b/>
          <w:color w:val="auto"/>
          <w:sz w:val="22"/>
          <w:szCs w:val="22"/>
        </w:rPr>
      </w:pPr>
    </w:p>
    <w:p w14:paraId="580400AE" w14:textId="77777777" w:rsidR="003C2ACA" w:rsidRPr="00774EE9" w:rsidRDefault="00E74D22" w:rsidP="008167CE">
      <w:pPr>
        <w:pStyle w:val="Default"/>
        <w:rPr>
          <w:color w:val="auto"/>
          <w:sz w:val="22"/>
          <w:szCs w:val="22"/>
        </w:rPr>
      </w:pPr>
      <w:r w:rsidRPr="00774EE9">
        <w:rPr>
          <w:b/>
          <w:color w:val="auto"/>
          <w:sz w:val="22"/>
          <w:szCs w:val="22"/>
        </w:rPr>
        <w:t>Anlage</w:t>
      </w:r>
      <w:r w:rsidR="008167CE" w:rsidRPr="00774EE9">
        <w:rPr>
          <w:b/>
          <w:color w:val="auto"/>
          <w:sz w:val="22"/>
          <w:szCs w:val="22"/>
        </w:rPr>
        <w:t>:</w:t>
      </w:r>
      <w:r w:rsidR="008167CE" w:rsidRPr="00774EE9">
        <w:rPr>
          <w:color w:val="auto"/>
          <w:sz w:val="22"/>
          <w:szCs w:val="22"/>
        </w:rPr>
        <w:t xml:space="preserve"> Geltungsbereich der Veränderungssperre</w:t>
      </w:r>
    </w:p>
    <w:p w14:paraId="2C9AE869" w14:textId="77777777" w:rsidR="003C2ACA" w:rsidRPr="00774EE9" w:rsidRDefault="003C2ACA">
      <w:r w:rsidRPr="00774EE9">
        <w:br w:type="page"/>
      </w:r>
    </w:p>
    <w:p w14:paraId="4DD2BC6A" w14:textId="77777777" w:rsidR="003C2ACA" w:rsidRDefault="003C2ACA" w:rsidP="003C2ACA">
      <w:pPr>
        <w:rPr>
          <w:rFonts w:ascii="Arial" w:hAnsi="Arial" w:cs="Arial"/>
          <w:b/>
          <w:sz w:val="32"/>
          <w:szCs w:val="32"/>
        </w:rPr>
      </w:pPr>
      <w:r w:rsidRPr="00774EE9">
        <w:rPr>
          <w:rFonts w:ascii="Arial" w:hAnsi="Arial" w:cs="Arial"/>
          <w:b/>
          <w:sz w:val="28"/>
          <w:szCs w:val="28"/>
        </w:rPr>
        <w:lastRenderedPageBreak/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28"/>
          <w:szCs w:val="28"/>
        </w:rPr>
        <w:tab/>
      </w:r>
      <w:r w:rsidRPr="00774EE9">
        <w:rPr>
          <w:rFonts w:ascii="Arial" w:hAnsi="Arial" w:cs="Arial"/>
          <w:b/>
          <w:sz w:val="32"/>
          <w:szCs w:val="32"/>
        </w:rPr>
        <w:t>Anlage</w:t>
      </w:r>
    </w:p>
    <w:p w14:paraId="28931829" w14:textId="77777777" w:rsidR="009A3FA9" w:rsidRPr="008167CE" w:rsidRDefault="00774EE9" w:rsidP="003C2ACA">
      <w:r>
        <w:rPr>
          <w:noProof/>
          <w:lang w:eastAsia="de-DE"/>
        </w:rPr>
        <w:drawing>
          <wp:inline distT="0" distB="0" distL="0" distR="0" wp14:anchorId="2E1294B8" wp14:editId="19E016AF">
            <wp:extent cx="5760720" cy="8544560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234--Veraenderungssperre_Geltungsberei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FA9" w:rsidRPr="008167CE" w:rsidSect="00607543">
      <w:footerReference w:type="default" r:id="rId10"/>
      <w:pgSz w:w="11906" w:h="16838"/>
      <w:pgMar w:top="1135" w:right="1417" w:bottom="284" w:left="1417" w:header="708" w:footer="985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76838B" w16cid:durableId="263F0DD5"/>
  <w16cid:commentId w16cid:paraId="12A12D5C" w16cid:durableId="263F0EF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26B4C" w14:textId="77777777" w:rsidR="00E75E6D" w:rsidRDefault="00E75E6D" w:rsidP="003A2C2A">
      <w:pPr>
        <w:spacing w:after="0" w:line="240" w:lineRule="auto"/>
      </w:pPr>
      <w:r>
        <w:separator/>
      </w:r>
    </w:p>
  </w:endnote>
  <w:endnote w:type="continuationSeparator" w:id="0">
    <w:p w14:paraId="03E093A2" w14:textId="77777777" w:rsidR="00E75E6D" w:rsidRDefault="00E75E6D" w:rsidP="003A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842899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78EB1793" w14:textId="7031050F" w:rsidR="003A2C2A" w:rsidRPr="003A2C2A" w:rsidRDefault="003A2C2A">
        <w:pPr>
          <w:pStyle w:val="Fuzeile"/>
          <w:jc w:val="center"/>
          <w:rPr>
            <w:rFonts w:ascii="Arial" w:hAnsi="Arial" w:cs="Arial"/>
            <w:sz w:val="20"/>
            <w:szCs w:val="20"/>
          </w:rPr>
        </w:pPr>
        <w:r w:rsidRPr="003A2C2A">
          <w:rPr>
            <w:rFonts w:ascii="Arial" w:hAnsi="Arial" w:cs="Arial"/>
            <w:sz w:val="20"/>
            <w:szCs w:val="20"/>
          </w:rPr>
          <w:fldChar w:fldCharType="begin"/>
        </w:r>
        <w:r w:rsidRPr="003A2C2A">
          <w:rPr>
            <w:rFonts w:ascii="Arial" w:hAnsi="Arial" w:cs="Arial"/>
            <w:sz w:val="20"/>
            <w:szCs w:val="20"/>
          </w:rPr>
          <w:instrText>PAGE   \* MERGEFORMAT</w:instrText>
        </w:r>
        <w:r w:rsidRPr="003A2C2A">
          <w:rPr>
            <w:rFonts w:ascii="Arial" w:hAnsi="Arial" w:cs="Arial"/>
            <w:sz w:val="20"/>
            <w:szCs w:val="20"/>
          </w:rPr>
          <w:fldChar w:fldCharType="separate"/>
        </w:r>
        <w:r w:rsidR="00AA5F2A">
          <w:rPr>
            <w:rFonts w:ascii="Arial" w:hAnsi="Arial" w:cs="Arial"/>
            <w:noProof/>
            <w:sz w:val="20"/>
            <w:szCs w:val="20"/>
          </w:rPr>
          <w:t>2</w:t>
        </w:r>
        <w:r w:rsidRPr="003A2C2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DF46380" w14:textId="77777777" w:rsidR="003A2C2A" w:rsidRDefault="003A2C2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DB169" w14:textId="77777777" w:rsidR="00E75E6D" w:rsidRDefault="00E75E6D" w:rsidP="003A2C2A">
      <w:pPr>
        <w:spacing w:after="0" w:line="240" w:lineRule="auto"/>
      </w:pPr>
      <w:r>
        <w:separator/>
      </w:r>
    </w:p>
  </w:footnote>
  <w:footnote w:type="continuationSeparator" w:id="0">
    <w:p w14:paraId="6DCE447B" w14:textId="77777777" w:rsidR="00E75E6D" w:rsidRDefault="00E75E6D" w:rsidP="003A2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E10BF"/>
    <w:multiLevelType w:val="hybridMultilevel"/>
    <w:tmpl w:val="39C0FA28"/>
    <w:lvl w:ilvl="0" w:tplc="8A5EBB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05145"/>
    <w:multiLevelType w:val="hybridMultilevel"/>
    <w:tmpl w:val="10001368"/>
    <w:lvl w:ilvl="0" w:tplc="B6C8926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7CC73369"/>
    <w:multiLevelType w:val="hybridMultilevel"/>
    <w:tmpl w:val="99A6F438"/>
    <w:lvl w:ilvl="0" w:tplc="5AB8A438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35FA2C4-A9EE-46CD-A6C9-F71DD8748952}"/>
    <w:docVar w:name="dgnword-eventsink" w:val="503967592"/>
  </w:docVars>
  <w:rsids>
    <w:rsidRoot w:val="00E74D22"/>
    <w:rsid w:val="00015EA6"/>
    <w:rsid w:val="00094944"/>
    <w:rsid w:val="000A7E14"/>
    <w:rsid w:val="000B7388"/>
    <w:rsid w:val="000D6C95"/>
    <w:rsid w:val="000E59DD"/>
    <w:rsid w:val="000E60C2"/>
    <w:rsid w:val="0017395B"/>
    <w:rsid w:val="001A75BA"/>
    <w:rsid w:val="001D7961"/>
    <w:rsid w:val="001E0695"/>
    <w:rsid w:val="001F3C5F"/>
    <w:rsid w:val="00204CC9"/>
    <w:rsid w:val="00257E41"/>
    <w:rsid w:val="00261FD0"/>
    <w:rsid w:val="00267BA0"/>
    <w:rsid w:val="002A64AB"/>
    <w:rsid w:val="003A2C2A"/>
    <w:rsid w:val="003C2ACA"/>
    <w:rsid w:val="003E69A4"/>
    <w:rsid w:val="00430674"/>
    <w:rsid w:val="004B560A"/>
    <w:rsid w:val="004E43B6"/>
    <w:rsid w:val="005B2E17"/>
    <w:rsid w:val="005F1AB0"/>
    <w:rsid w:val="006021C4"/>
    <w:rsid w:val="006054A9"/>
    <w:rsid w:val="00607543"/>
    <w:rsid w:val="006235E0"/>
    <w:rsid w:val="006464C6"/>
    <w:rsid w:val="006A5E37"/>
    <w:rsid w:val="007007D9"/>
    <w:rsid w:val="00721D9A"/>
    <w:rsid w:val="00742689"/>
    <w:rsid w:val="00765A11"/>
    <w:rsid w:val="00767CCA"/>
    <w:rsid w:val="00774EE9"/>
    <w:rsid w:val="007E548A"/>
    <w:rsid w:val="008167CE"/>
    <w:rsid w:val="008A2F9D"/>
    <w:rsid w:val="008D352B"/>
    <w:rsid w:val="00904A91"/>
    <w:rsid w:val="00952D32"/>
    <w:rsid w:val="009A3FA9"/>
    <w:rsid w:val="009A46E2"/>
    <w:rsid w:val="009D4802"/>
    <w:rsid w:val="00A02007"/>
    <w:rsid w:val="00A30EAB"/>
    <w:rsid w:val="00A67736"/>
    <w:rsid w:val="00AA5F2A"/>
    <w:rsid w:val="00AB3191"/>
    <w:rsid w:val="00BC5406"/>
    <w:rsid w:val="00BE534C"/>
    <w:rsid w:val="00CB529F"/>
    <w:rsid w:val="00D048DC"/>
    <w:rsid w:val="00E162F5"/>
    <w:rsid w:val="00E41FE5"/>
    <w:rsid w:val="00E74D22"/>
    <w:rsid w:val="00E75E6D"/>
    <w:rsid w:val="00F17763"/>
    <w:rsid w:val="00F9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1F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74D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3A2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2C2A"/>
  </w:style>
  <w:style w:type="paragraph" w:styleId="Fuzeile">
    <w:name w:val="footer"/>
    <w:basedOn w:val="Standard"/>
    <w:link w:val="FuzeileZchn"/>
    <w:uiPriority w:val="99"/>
    <w:unhideWhenUsed/>
    <w:rsid w:val="003A2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2C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ACA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7E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7E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7E1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7E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7E14"/>
    <w:rPr>
      <w:b/>
      <w:bCs/>
      <w:sz w:val="20"/>
      <w:szCs w:val="20"/>
    </w:rPr>
  </w:style>
  <w:style w:type="character" w:customStyle="1" w:styleId="markedcontent">
    <w:name w:val="markedcontent"/>
    <w:basedOn w:val="Absatz-Standardschriftart"/>
    <w:rsid w:val="001739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74D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3A2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2C2A"/>
  </w:style>
  <w:style w:type="paragraph" w:styleId="Fuzeile">
    <w:name w:val="footer"/>
    <w:basedOn w:val="Standard"/>
    <w:link w:val="FuzeileZchn"/>
    <w:uiPriority w:val="99"/>
    <w:unhideWhenUsed/>
    <w:rsid w:val="003A2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2C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ACA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7E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7E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7E1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7E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7E14"/>
    <w:rPr>
      <w:b/>
      <w:bCs/>
      <w:sz w:val="20"/>
      <w:szCs w:val="20"/>
    </w:rPr>
  </w:style>
  <w:style w:type="character" w:customStyle="1" w:styleId="markedcontent">
    <w:name w:val="markedcontent"/>
    <w:basedOn w:val="Absatz-Standardschriftart"/>
    <w:rsid w:val="00173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3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EB65-186E-4FEA-BA63-023CE8B94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 iT</Company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Peikert</dc:creator>
  <cp:lastModifiedBy>Petra Peikert</cp:lastModifiedBy>
  <cp:revision>2</cp:revision>
  <cp:lastPrinted>2022-06-21T14:37:00Z</cp:lastPrinted>
  <dcterms:created xsi:type="dcterms:W3CDTF">2022-06-28T14:41:00Z</dcterms:created>
  <dcterms:modified xsi:type="dcterms:W3CDTF">2022-06-28T14:41:00Z</dcterms:modified>
</cp:coreProperties>
</file>